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华文仿宋" w:eastAsia="黑体"/>
          <w:sz w:val="32"/>
          <w:szCs w:val="32"/>
        </w:rPr>
      </w:pPr>
      <w:r>
        <w:rPr>
          <w:rFonts w:hint="eastAsia" w:ascii="黑体" w:hAnsi="华文仿宋" w:eastAsia="黑体"/>
          <w:sz w:val="32"/>
          <w:szCs w:val="32"/>
        </w:rPr>
        <w:t>附件</w:t>
      </w:r>
    </w:p>
    <w:p>
      <w:pPr>
        <w:spacing w:line="560" w:lineRule="exact"/>
        <w:ind w:left="1280" w:hanging="1280" w:hangingChars="400"/>
        <w:rPr>
          <w:rFonts w:hint="eastAsia" w:ascii="仿宋_GB2312" w:hAnsi="华文仿宋" w:eastAsia="仿宋_GB2312"/>
          <w:sz w:val="32"/>
          <w:szCs w:val="32"/>
        </w:rPr>
      </w:pPr>
    </w:p>
    <w:p>
      <w:pPr>
        <w:spacing w:line="560" w:lineRule="exact"/>
        <w:jc w:val="center"/>
        <w:rPr>
          <w:rFonts w:eastAsia="方正小标宋简体"/>
          <w:sz w:val="44"/>
          <w:szCs w:val="44"/>
        </w:rPr>
      </w:pPr>
      <w:bookmarkStart w:id="0" w:name="_GoBack"/>
      <w:r>
        <w:rPr>
          <w:rFonts w:eastAsia="方正小标宋简体"/>
          <w:sz w:val="44"/>
          <w:szCs w:val="44"/>
        </w:rPr>
        <w:t>中药饮片标签管理规定</w:t>
      </w:r>
    </w:p>
    <w:bookmarkEnd w:id="0"/>
    <w:p>
      <w:pPr>
        <w:spacing w:line="560" w:lineRule="exact"/>
        <w:rPr>
          <w:rFonts w:hint="eastAsia" w:ascii="仿宋_GB2312" w:hAnsi="华文仿宋" w:eastAsia="仿宋_GB2312"/>
          <w:sz w:val="32"/>
          <w:szCs w:val="32"/>
        </w:rPr>
      </w:pPr>
    </w:p>
    <w:p>
      <w:pPr>
        <w:spacing w:line="560" w:lineRule="exact"/>
        <w:ind w:firstLine="640" w:firstLineChars="200"/>
        <w:rPr>
          <w:rFonts w:eastAsia="仿宋_GB2312"/>
          <w:sz w:val="32"/>
          <w:szCs w:val="32"/>
        </w:rPr>
      </w:pPr>
      <w:r>
        <w:rPr>
          <w:rFonts w:hint="eastAsia" w:ascii="黑体" w:hAnsi="黑体" w:eastAsia="黑体"/>
          <w:sz w:val="32"/>
          <w:szCs w:val="32"/>
        </w:rPr>
        <w:t>第一条</w:t>
      </w:r>
      <w:r>
        <w:rPr>
          <w:rFonts w:ascii="黑体" w:hAnsi="黑体" w:eastAsia="黑体"/>
          <w:sz w:val="32"/>
          <w:szCs w:val="32"/>
        </w:rPr>
        <w:t xml:space="preserve"> </w:t>
      </w:r>
      <w:r>
        <w:rPr>
          <w:rFonts w:hint="eastAsia" w:eastAsia="仿宋_GB2312"/>
          <w:sz w:val="32"/>
          <w:szCs w:val="32"/>
        </w:rPr>
        <w:t xml:space="preserve"> </w:t>
      </w:r>
      <w:r>
        <w:rPr>
          <w:rFonts w:eastAsia="仿宋_GB2312"/>
          <w:sz w:val="32"/>
          <w:szCs w:val="32"/>
        </w:rPr>
        <w:t>为规范中药饮片标签管理，确保中药饮片使用安全，根据《中华人民共和国药品管理法》《中华人民共和国药品管理法实施条例》《药品说明书和标签管理规定》等法律、行政法规和部门规章，制定本规定。</w:t>
      </w:r>
    </w:p>
    <w:p>
      <w:pPr>
        <w:spacing w:line="560" w:lineRule="exact"/>
        <w:ind w:firstLine="640" w:firstLineChars="200"/>
        <w:rPr>
          <w:rFonts w:hint="eastAsia" w:eastAsia="仿宋_GB2312"/>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在中华人民共和国境内生产、经营的中药饮片，其标签应当符合本规定要求。</w:t>
      </w:r>
      <w:r>
        <w:rPr>
          <w:rFonts w:hint="eastAsia" w:eastAsia="仿宋_GB2312"/>
          <w:sz w:val="32"/>
          <w:szCs w:val="32"/>
        </w:rPr>
        <w:t>药品生产企业自行炮制的中药饮片直接用于药品生产的不适用本规定。</w:t>
      </w:r>
    </w:p>
    <w:p>
      <w:pPr>
        <w:spacing w:line="560" w:lineRule="exact"/>
        <w:ind w:firstLine="640" w:firstLineChars="200"/>
        <w:rPr>
          <w:rFonts w:eastAsia="仿宋_GB2312"/>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w:t>
      </w:r>
      <w:r>
        <w:rPr>
          <w:rFonts w:hint="eastAsia" w:eastAsia="仿宋_GB2312"/>
          <w:sz w:val="32"/>
          <w:szCs w:val="32"/>
        </w:rPr>
        <w:t>的包装和标签</w:t>
      </w:r>
      <w:r>
        <w:rPr>
          <w:rFonts w:eastAsia="仿宋_GB2312"/>
          <w:sz w:val="32"/>
          <w:szCs w:val="32"/>
        </w:rPr>
        <w:t>应当规范，包装应当按照规定印有</w:t>
      </w:r>
      <w:r>
        <w:rPr>
          <w:rFonts w:hint="eastAsia" w:eastAsia="仿宋_GB2312"/>
          <w:sz w:val="32"/>
          <w:szCs w:val="32"/>
        </w:rPr>
        <w:t>或者</w:t>
      </w:r>
      <w:r>
        <w:rPr>
          <w:rFonts w:eastAsia="仿宋_GB2312"/>
          <w:sz w:val="32"/>
          <w:szCs w:val="32"/>
        </w:rPr>
        <w:t>贴有标签，并附有质量合格标志。中药饮片标签和质量合格标志可以分别印制，分开放置</w:t>
      </w:r>
      <w:r>
        <w:rPr>
          <w:rFonts w:hint="eastAsia" w:eastAsia="仿宋_GB2312"/>
          <w:sz w:val="32"/>
          <w:szCs w:val="32"/>
        </w:rPr>
        <w:t>；</w:t>
      </w:r>
      <w:r>
        <w:rPr>
          <w:rFonts w:eastAsia="仿宋_GB2312"/>
          <w:sz w:val="32"/>
          <w:szCs w:val="32"/>
        </w:rPr>
        <w:t>也可以合并印制，分别标示。</w:t>
      </w:r>
    </w:p>
    <w:p>
      <w:pPr>
        <w:spacing w:line="560" w:lineRule="exact"/>
        <w:ind w:firstLine="640" w:firstLineChars="200"/>
        <w:rPr>
          <w:rFonts w:eastAsia="仿宋_GB2312"/>
          <w:color w:val="FF0000"/>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中药饮片生产企业应当对其生产中药饮片标签内容的真实性、</w:t>
      </w:r>
      <w:r>
        <w:rPr>
          <w:rFonts w:hint="eastAsia" w:eastAsia="仿宋_GB2312"/>
          <w:sz w:val="32"/>
          <w:szCs w:val="32"/>
        </w:rPr>
        <w:t>准确性、</w:t>
      </w:r>
      <w:r>
        <w:rPr>
          <w:rFonts w:eastAsia="仿宋_GB2312"/>
          <w:sz w:val="32"/>
          <w:szCs w:val="32"/>
        </w:rPr>
        <w:t>完整性、规范性负责，承担中药饮片质量安全责任，接受社会监督。</w:t>
      </w:r>
    </w:p>
    <w:p>
      <w:pPr>
        <w:spacing w:line="560" w:lineRule="exact"/>
        <w:ind w:firstLine="640" w:firstLineChars="200"/>
        <w:rPr>
          <w:rFonts w:eastAsia="仿宋_GB2312"/>
          <w:sz w:val="32"/>
          <w:szCs w:val="32"/>
        </w:rPr>
      </w:pPr>
      <w:r>
        <w:rPr>
          <w:rFonts w:eastAsia="仿宋_GB2312"/>
          <w:sz w:val="32"/>
          <w:szCs w:val="32"/>
        </w:rPr>
        <w:t>中药饮片经营企业应当依据其经营的中药饮片执行标准，核实标签内容的准确性、完整性、规范性。</w:t>
      </w:r>
    </w:p>
    <w:p>
      <w:pPr>
        <w:spacing w:line="560" w:lineRule="exact"/>
        <w:ind w:firstLine="640" w:firstLineChars="200"/>
        <w:rPr>
          <w:rFonts w:eastAsia="仿宋_GB2312"/>
          <w:sz w:val="32"/>
          <w:szCs w:val="32"/>
        </w:rPr>
      </w:pPr>
      <w:r>
        <w:rPr>
          <w:rFonts w:eastAsia="仿宋_GB2312"/>
          <w:sz w:val="32"/>
          <w:szCs w:val="32"/>
        </w:rPr>
        <w:t>各省、自治区、直辖市药品监督管理部门负责辖区内生产、流通的中药饮片包装</w:t>
      </w:r>
      <w:r>
        <w:rPr>
          <w:rFonts w:hint="eastAsia" w:eastAsia="仿宋_GB2312"/>
          <w:sz w:val="32"/>
          <w:szCs w:val="32"/>
        </w:rPr>
        <w:t>、</w:t>
      </w:r>
      <w:r>
        <w:rPr>
          <w:rFonts w:eastAsia="仿宋_GB2312"/>
          <w:sz w:val="32"/>
          <w:szCs w:val="32"/>
        </w:rPr>
        <w:t>标签的监管。</w:t>
      </w:r>
    </w:p>
    <w:p>
      <w:pPr>
        <w:spacing w:line="560" w:lineRule="exact"/>
        <w:ind w:firstLine="640" w:firstLineChars="200"/>
        <w:rPr>
          <w:rFonts w:eastAsia="仿宋_GB2312"/>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鼓励</w:t>
      </w:r>
      <w:r>
        <w:rPr>
          <w:rFonts w:hint="eastAsia" w:eastAsia="仿宋_GB2312"/>
          <w:sz w:val="32"/>
          <w:szCs w:val="32"/>
        </w:rPr>
        <w:t>对</w:t>
      </w:r>
      <w:r>
        <w:rPr>
          <w:rFonts w:eastAsia="仿宋_GB2312"/>
          <w:sz w:val="32"/>
          <w:szCs w:val="32"/>
        </w:rPr>
        <w:t>中药饮片标签采用新的科技手段，提升中药饮片的溯源管理水平，便于关键质量信息的查询。</w:t>
      </w:r>
      <w:r>
        <w:rPr>
          <w:rFonts w:hint="eastAsia" w:eastAsia="仿宋_GB2312"/>
          <w:sz w:val="32"/>
          <w:szCs w:val="32"/>
        </w:rPr>
        <w:t>中药饮片的包装、标签不得加载有企业宣传或者产品广告等内容。</w:t>
      </w:r>
    </w:p>
    <w:p>
      <w:pPr>
        <w:spacing w:line="560" w:lineRule="exact"/>
        <w:ind w:firstLine="640" w:firstLineChars="200"/>
        <w:rPr>
          <w:rFonts w:eastAsia="仿宋_GB2312"/>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生产中药饮片，应</w:t>
      </w:r>
      <w:r>
        <w:rPr>
          <w:rFonts w:hint="eastAsia" w:eastAsia="仿宋_GB2312"/>
          <w:sz w:val="32"/>
          <w:szCs w:val="32"/>
        </w:rPr>
        <w:t>当</w:t>
      </w:r>
      <w:r>
        <w:rPr>
          <w:rFonts w:eastAsia="仿宋_GB2312"/>
          <w:sz w:val="32"/>
          <w:szCs w:val="32"/>
        </w:rPr>
        <w:t>选用与药品性质相适应及符合药品质量</w:t>
      </w:r>
      <w:r>
        <w:rPr>
          <w:rFonts w:hint="eastAsia" w:eastAsia="仿宋_GB2312"/>
          <w:sz w:val="32"/>
          <w:szCs w:val="32"/>
        </w:rPr>
        <w:t>和稳定性</w:t>
      </w:r>
      <w:r>
        <w:rPr>
          <w:rFonts w:eastAsia="仿宋_GB2312"/>
          <w:sz w:val="32"/>
          <w:szCs w:val="32"/>
        </w:rPr>
        <w:t>要求的包装材料和容器。严禁选用与药品性质不相适应和对药品质量安全产生影响的包装材料。</w:t>
      </w:r>
    </w:p>
    <w:p>
      <w:pPr>
        <w:spacing w:line="560" w:lineRule="exact"/>
        <w:ind w:firstLine="640" w:firstLineChars="200"/>
        <w:rPr>
          <w:rFonts w:eastAsia="仿宋_GB2312"/>
          <w:sz w:val="32"/>
          <w:szCs w:val="32"/>
        </w:rPr>
      </w:pPr>
      <w:r>
        <w:rPr>
          <w:rFonts w:hint="eastAsia" w:ascii="黑体" w:hAnsi="黑体" w:eastAsia="黑体" w:cs="黑体"/>
          <w:sz w:val="32"/>
          <w:szCs w:val="32"/>
        </w:rPr>
        <w:t>第七条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中药饮片标签中的文字应当清晰易辨，</w:t>
      </w:r>
      <w:r>
        <w:rPr>
          <w:rFonts w:hint="eastAsia" w:eastAsia="仿宋_GB2312"/>
          <w:sz w:val="32"/>
          <w:szCs w:val="32"/>
        </w:rPr>
        <w:t>字体大小应当确保易于辨认与识读。</w:t>
      </w:r>
      <w:r>
        <w:rPr>
          <w:rFonts w:eastAsia="仿宋_GB2312"/>
          <w:sz w:val="32"/>
          <w:szCs w:val="32"/>
        </w:rPr>
        <w:t>标识应当清楚、醒目、持久，不得有印字脱落或者粘贴不牢等现象；不得以粘贴、剪切、涂改等方式进行修改。标签的填写不得采用手写，</w:t>
      </w:r>
      <w:r>
        <w:rPr>
          <w:rFonts w:hint="eastAsia" w:eastAsia="仿宋_GB2312"/>
          <w:sz w:val="32"/>
          <w:szCs w:val="32"/>
        </w:rPr>
        <w:t>可以</w:t>
      </w:r>
      <w:r>
        <w:rPr>
          <w:rFonts w:eastAsia="仿宋_GB2312"/>
          <w:sz w:val="32"/>
          <w:szCs w:val="32"/>
        </w:rPr>
        <w:t>打印</w:t>
      </w:r>
      <w:r>
        <w:rPr>
          <w:rFonts w:hint="eastAsia" w:eastAsia="仿宋_GB2312"/>
          <w:sz w:val="32"/>
          <w:szCs w:val="32"/>
        </w:rPr>
        <w:t>或者</w:t>
      </w:r>
      <w:r>
        <w:rPr>
          <w:rFonts w:eastAsia="仿宋_GB2312"/>
          <w:sz w:val="32"/>
          <w:szCs w:val="32"/>
        </w:rPr>
        <w:t>签章，应当选择适宜的色泽。</w:t>
      </w:r>
    </w:p>
    <w:p>
      <w:pPr>
        <w:spacing w:line="560" w:lineRule="exact"/>
        <w:ind w:firstLine="640" w:firstLineChars="200"/>
        <w:rPr>
          <w:rFonts w:eastAsia="仿宋_GB2312"/>
          <w:sz w:val="32"/>
          <w:szCs w:val="32"/>
        </w:rPr>
      </w:pPr>
      <w:r>
        <w:rPr>
          <w:rFonts w:hint="eastAsia" w:ascii="黑体" w:hAnsi="黑体" w:eastAsia="黑体" w:cs="黑体"/>
          <w:sz w:val="32"/>
          <w:szCs w:val="32"/>
        </w:rPr>
        <w:t>第八条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中药饮片标签应当使用国家语言文字工作委员会公布的规范化汉字。增加其他文字对照的，内容应当以汉字表述为准，字号不得大于相应的汉字。</w:t>
      </w:r>
    </w:p>
    <w:p>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第九条 </w:t>
      </w:r>
      <w:r>
        <w:rPr>
          <w:rFonts w:ascii="黑体" w:hAnsi="黑体" w:eastAsia="黑体" w:cs="黑体"/>
          <w:sz w:val="32"/>
          <w:szCs w:val="32"/>
        </w:rPr>
        <w:t xml:space="preserve"> </w:t>
      </w:r>
      <w:r>
        <w:rPr>
          <w:rFonts w:eastAsia="仿宋_GB2312"/>
          <w:sz w:val="32"/>
          <w:szCs w:val="32"/>
        </w:rPr>
        <w:t>中药饮片标签的标识内容应当符合国家有关规定，并以相应的国家药品标准（含国家中药饮片炮制规范，下同）</w:t>
      </w:r>
      <w:r>
        <w:rPr>
          <w:rFonts w:hint="eastAsia" w:eastAsia="仿宋_GB2312"/>
          <w:sz w:val="32"/>
          <w:szCs w:val="32"/>
        </w:rPr>
        <w:t>或者</w:t>
      </w:r>
      <w:r>
        <w:rPr>
          <w:rFonts w:eastAsia="仿宋_GB2312"/>
          <w:sz w:val="32"/>
          <w:szCs w:val="32"/>
        </w:rPr>
        <w:t>省、自治区、直辖市人民政府药品监督管理部门制定的炮制规范（以下简称省级中药饮片炮制规范）为依据，内容应当真实、准确、完整，不得印有误导使用和不适当宣传产品的文字和标识。中药</w:t>
      </w:r>
      <w:r>
        <w:rPr>
          <w:rFonts w:eastAsia="仿宋_GB2312"/>
          <w:color w:val="000000"/>
          <w:sz w:val="32"/>
          <w:szCs w:val="32"/>
        </w:rPr>
        <w:t>饮片标签应当</w:t>
      </w:r>
      <w:r>
        <w:rPr>
          <w:rFonts w:hint="eastAsia" w:eastAsia="仿宋_GB2312"/>
          <w:color w:val="000000"/>
          <w:sz w:val="32"/>
          <w:szCs w:val="32"/>
        </w:rPr>
        <w:t>标注“</w:t>
      </w:r>
      <w:r>
        <w:rPr>
          <w:rFonts w:eastAsia="仿宋_GB2312"/>
          <w:color w:val="000000"/>
          <w:sz w:val="32"/>
          <w:szCs w:val="32"/>
        </w:rPr>
        <w:t>中</w:t>
      </w:r>
      <w:r>
        <w:rPr>
          <w:rFonts w:eastAsia="仿宋_GB2312"/>
          <w:sz w:val="32"/>
          <w:szCs w:val="32"/>
        </w:rPr>
        <w:t>药饮片</w:t>
      </w:r>
      <w:r>
        <w:rPr>
          <w:rFonts w:hint="eastAsia" w:eastAsia="仿宋_GB2312"/>
          <w:sz w:val="32"/>
          <w:szCs w:val="32"/>
        </w:rPr>
        <w:t>”字样，明示产品属性</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实施审批管理的中药饮片的标签内容应当按照国家药品监督管理部门核准的内容进行标识。</w:t>
      </w:r>
    </w:p>
    <w:p>
      <w:pPr>
        <w:spacing w:line="560" w:lineRule="exact"/>
        <w:ind w:firstLine="640" w:firstLineChars="200"/>
        <w:rPr>
          <w:rFonts w:eastAsia="仿宋_GB2312"/>
          <w:sz w:val="32"/>
          <w:szCs w:val="32"/>
        </w:rPr>
      </w:pPr>
      <w:r>
        <w:rPr>
          <w:rFonts w:hint="eastAsia" w:ascii="黑体" w:hAnsi="黑体" w:eastAsia="黑体" w:cs="黑体"/>
          <w:sz w:val="32"/>
          <w:szCs w:val="32"/>
        </w:rPr>
        <w:t>第十条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中药饮片标签分为内标签和外标签两种。内标签系指直接接触中药饮片的包装的标签；</w:t>
      </w:r>
      <w:r>
        <w:rPr>
          <w:rFonts w:eastAsia="仿宋_GB2312"/>
          <w:color w:val="000000"/>
          <w:sz w:val="32"/>
          <w:szCs w:val="32"/>
        </w:rPr>
        <w:t>外标签系指内</w:t>
      </w:r>
      <w:r>
        <w:rPr>
          <w:rFonts w:hint="eastAsia" w:eastAsia="仿宋_GB2312"/>
          <w:color w:val="000000"/>
          <w:sz w:val="32"/>
          <w:szCs w:val="32"/>
        </w:rPr>
        <w:t>标签</w:t>
      </w:r>
      <w:r>
        <w:rPr>
          <w:rFonts w:eastAsia="仿宋_GB2312"/>
          <w:color w:val="000000"/>
          <w:sz w:val="32"/>
          <w:szCs w:val="32"/>
        </w:rPr>
        <w:t>以外的</w:t>
      </w:r>
      <w:r>
        <w:rPr>
          <w:rFonts w:hint="eastAsia" w:eastAsia="仿宋_GB2312"/>
          <w:color w:val="000000"/>
          <w:sz w:val="32"/>
          <w:szCs w:val="32"/>
        </w:rPr>
        <w:t>其他</w:t>
      </w:r>
      <w:r>
        <w:rPr>
          <w:rFonts w:eastAsia="仿宋_GB2312"/>
          <w:color w:val="000000"/>
          <w:sz w:val="32"/>
          <w:szCs w:val="32"/>
        </w:rPr>
        <w:t>包装的标签</w:t>
      </w:r>
      <w:r>
        <w:rPr>
          <w:rFonts w:eastAsia="仿宋_GB2312"/>
          <w:sz w:val="32"/>
          <w:szCs w:val="32"/>
        </w:rPr>
        <w:t>。</w:t>
      </w:r>
    </w:p>
    <w:p>
      <w:pPr>
        <w:spacing w:line="560" w:lineRule="exact"/>
        <w:ind w:firstLine="640" w:firstLineChars="200"/>
        <w:rPr>
          <w:rFonts w:eastAsia="仿宋_GB2312"/>
          <w:color w:val="000000"/>
          <w:sz w:val="32"/>
          <w:szCs w:val="32"/>
        </w:rPr>
      </w:pPr>
      <w:r>
        <w:rPr>
          <w:rFonts w:hint="eastAsia" w:ascii="黑体" w:hAnsi="黑体" w:eastAsia="黑体" w:cs="黑体"/>
          <w:sz w:val="32"/>
          <w:szCs w:val="32"/>
        </w:rPr>
        <w:t>第十一条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中药饮片的内、外标签</w:t>
      </w:r>
      <w:r>
        <w:rPr>
          <w:rFonts w:hint="eastAsia" w:eastAsia="仿宋_GB2312"/>
          <w:sz w:val="32"/>
          <w:szCs w:val="32"/>
        </w:rPr>
        <w:t>应当</w:t>
      </w:r>
      <w:r>
        <w:rPr>
          <w:rFonts w:eastAsia="仿宋_GB2312"/>
          <w:sz w:val="32"/>
          <w:szCs w:val="32"/>
        </w:rPr>
        <w:t>标注</w:t>
      </w:r>
      <w:r>
        <w:rPr>
          <w:rFonts w:hint="eastAsia" w:eastAsia="仿宋_GB2312"/>
          <w:color w:val="000000"/>
          <w:sz w:val="32"/>
          <w:szCs w:val="32"/>
        </w:rPr>
        <w:t>产品属性</w:t>
      </w:r>
      <w:r>
        <w:rPr>
          <w:rFonts w:hint="eastAsia" w:eastAsia="仿宋_GB2312"/>
          <w:sz w:val="32"/>
          <w:szCs w:val="32"/>
        </w:rPr>
        <w:t>、</w:t>
      </w:r>
      <w:r>
        <w:rPr>
          <w:rFonts w:eastAsia="仿宋_GB2312"/>
          <w:sz w:val="32"/>
          <w:szCs w:val="32"/>
        </w:rPr>
        <w:t>品名、规格、药材产地、生产企业、产品批号、生产日期、装量、保质期、执行标准等内容。实施审批管理的中药饮片还应当按规定注明</w:t>
      </w:r>
      <w:r>
        <w:rPr>
          <w:rFonts w:hint="eastAsia" w:eastAsia="仿宋_GB2312"/>
          <w:sz w:val="32"/>
          <w:szCs w:val="32"/>
        </w:rPr>
        <w:t>药品</w:t>
      </w:r>
      <w:r>
        <w:rPr>
          <w:rFonts w:eastAsia="仿宋_GB2312"/>
          <w:color w:val="000000"/>
          <w:sz w:val="32"/>
          <w:szCs w:val="32"/>
        </w:rPr>
        <w:t>批准文号。对需置阴凉处、冷处、避光</w:t>
      </w:r>
      <w:r>
        <w:rPr>
          <w:rFonts w:hint="eastAsia" w:eastAsia="仿宋_GB2312"/>
          <w:color w:val="000000"/>
          <w:sz w:val="32"/>
          <w:szCs w:val="32"/>
        </w:rPr>
        <w:t>或者</w:t>
      </w:r>
      <w:r>
        <w:rPr>
          <w:rFonts w:eastAsia="仿宋_GB2312"/>
          <w:color w:val="000000"/>
          <w:sz w:val="32"/>
          <w:szCs w:val="32"/>
        </w:rPr>
        <w:t>密闭保存等贮藏有特殊要求的中药饮片，应当在标签的醒目位置注明。如国家药品标准</w:t>
      </w:r>
      <w:r>
        <w:rPr>
          <w:rFonts w:hint="eastAsia" w:eastAsia="仿宋_GB2312"/>
          <w:color w:val="000000"/>
          <w:sz w:val="32"/>
          <w:szCs w:val="32"/>
        </w:rPr>
        <w:t>或者</w:t>
      </w:r>
      <w:r>
        <w:rPr>
          <w:rFonts w:eastAsia="仿宋_GB2312"/>
          <w:color w:val="000000"/>
          <w:sz w:val="32"/>
          <w:szCs w:val="32"/>
        </w:rPr>
        <w:t>省级中药饮片炮制规范对规格项没有规定的，</w:t>
      </w:r>
      <w:r>
        <w:rPr>
          <w:rFonts w:hint="eastAsia" w:eastAsia="仿宋_GB2312"/>
          <w:color w:val="000000"/>
          <w:sz w:val="32"/>
          <w:szCs w:val="32"/>
        </w:rPr>
        <w:t>可以</w:t>
      </w:r>
      <w:r>
        <w:rPr>
          <w:rFonts w:eastAsia="仿宋_GB2312"/>
          <w:color w:val="000000"/>
          <w:sz w:val="32"/>
          <w:szCs w:val="32"/>
        </w:rPr>
        <w:t>不</w:t>
      </w:r>
      <w:r>
        <w:rPr>
          <w:rFonts w:hint="eastAsia" w:eastAsia="仿宋_GB2312"/>
          <w:color w:val="000000"/>
          <w:sz w:val="32"/>
          <w:szCs w:val="32"/>
        </w:rPr>
        <w:t>标注</w:t>
      </w:r>
      <w:r>
        <w:rPr>
          <w:rFonts w:eastAsia="仿宋_GB2312"/>
          <w:color w:val="000000"/>
          <w:sz w:val="32"/>
          <w:szCs w:val="32"/>
        </w:rPr>
        <w:t>产品规格。</w:t>
      </w:r>
    </w:p>
    <w:p>
      <w:pPr>
        <w:spacing w:line="560" w:lineRule="exact"/>
        <w:ind w:firstLine="640" w:firstLineChars="200"/>
        <w:rPr>
          <w:rFonts w:eastAsia="仿宋_GB2312"/>
          <w:color w:val="000000"/>
          <w:sz w:val="32"/>
          <w:szCs w:val="32"/>
        </w:rPr>
      </w:pPr>
      <w:r>
        <w:rPr>
          <w:rFonts w:eastAsia="仿宋_GB2312"/>
          <w:color w:val="000000"/>
          <w:sz w:val="32"/>
          <w:szCs w:val="32"/>
        </w:rPr>
        <w:t>中药饮片内标签因包装尺寸原因无法全部标注上述内容的，至少应当标注</w:t>
      </w:r>
      <w:r>
        <w:rPr>
          <w:rFonts w:hint="eastAsia" w:eastAsia="仿宋_GB2312"/>
          <w:color w:val="000000"/>
          <w:sz w:val="32"/>
          <w:szCs w:val="32"/>
        </w:rPr>
        <w:t>产品属性</w:t>
      </w:r>
      <w:r>
        <w:rPr>
          <w:rFonts w:hint="eastAsia" w:eastAsia="仿宋_GB2312"/>
          <w:sz w:val="32"/>
          <w:szCs w:val="32"/>
        </w:rPr>
        <w:t>、</w:t>
      </w:r>
      <w:r>
        <w:rPr>
          <w:rFonts w:eastAsia="仿宋_GB2312"/>
          <w:color w:val="000000"/>
          <w:sz w:val="32"/>
          <w:szCs w:val="32"/>
        </w:rPr>
        <w:t>品名、</w:t>
      </w:r>
      <w:r>
        <w:rPr>
          <w:rFonts w:hint="eastAsia" w:eastAsia="仿宋_GB2312"/>
          <w:color w:val="000000"/>
          <w:sz w:val="32"/>
          <w:szCs w:val="32"/>
        </w:rPr>
        <w:t>药材产地、</w:t>
      </w:r>
      <w:r>
        <w:rPr>
          <w:rFonts w:eastAsia="仿宋_GB2312"/>
          <w:color w:val="000000"/>
          <w:sz w:val="32"/>
          <w:szCs w:val="32"/>
        </w:rPr>
        <w:t>规格</w:t>
      </w:r>
      <w:r>
        <w:rPr>
          <w:rFonts w:hint="eastAsia" w:eastAsia="仿宋_GB2312"/>
          <w:color w:val="000000"/>
          <w:sz w:val="32"/>
          <w:szCs w:val="32"/>
        </w:rPr>
        <w:t>或者</w:t>
      </w:r>
      <w:r>
        <w:rPr>
          <w:rFonts w:eastAsia="仿宋_GB2312"/>
          <w:color w:val="000000"/>
          <w:sz w:val="32"/>
          <w:szCs w:val="32"/>
        </w:rPr>
        <w:t>装量、产品批号和保质期等内容。</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第十二条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hint="eastAsia" w:eastAsia="仿宋_GB2312"/>
          <w:sz w:val="32"/>
          <w:szCs w:val="32"/>
        </w:rPr>
        <w:t>中药饮片的保质期由中药饮片生产企业自主研究确定，</w:t>
      </w:r>
      <w:r>
        <w:rPr>
          <w:rFonts w:hint="eastAsia" w:eastAsia="仿宋_GB2312"/>
          <w:kern w:val="0"/>
          <w:sz w:val="32"/>
          <w:szCs w:val="32"/>
        </w:rPr>
        <w:t>在标签标注的期限内，中药饮片应当符合所执行的饮片炮制规范或者标准的要求</w:t>
      </w:r>
      <w:r>
        <w:rPr>
          <w:rFonts w:hint="eastAsia" w:eastAsia="仿宋_GB2312"/>
          <w:sz w:val="32"/>
          <w:szCs w:val="32"/>
        </w:rPr>
        <w:t>。</w:t>
      </w:r>
    </w:p>
    <w:p>
      <w:pPr>
        <w:spacing w:line="560" w:lineRule="exact"/>
        <w:ind w:firstLine="640" w:firstLineChars="200"/>
        <w:rPr>
          <w:rFonts w:eastAsia="仿宋_GB2312"/>
          <w:color w:val="000000"/>
          <w:sz w:val="32"/>
          <w:szCs w:val="32"/>
        </w:rPr>
      </w:pPr>
      <w:r>
        <w:rPr>
          <w:rFonts w:hint="eastAsia" w:ascii="黑体" w:hAnsi="黑体" w:eastAsia="黑体" w:cs="黑体"/>
          <w:color w:val="000000"/>
          <w:sz w:val="32"/>
          <w:szCs w:val="32"/>
        </w:rPr>
        <w:t>第十三条</w:t>
      </w:r>
      <w:r>
        <w:rPr>
          <w:rFonts w:ascii="黑体" w:hAnsi="黑体" w:eastAsia="黑体" w:cs="黑体"/>
          <w:color w:val="000000"/>
          <w:sz w:val="32"/>
          <w:szCs w:val="32"/>
        </w:rPr>
        <w:t xml:space="preserve"> </w:t>
      </w:r>
      <w:r>
        <w:rPr>
          <w:rFonts w:hint="eastAsia" w:ascii="黑体" w:hAnsi="黑体" w:eastAsia="黑体" w:cs="黑体"/>
          <w:color w:val="000000"/>
          <w:sz w:val="32"/>
          <w:szCs w:val="32"/>
        </w:rPr>
        <w:t xml:space="preserve"> </w:t>
      </w:r>
      <w:r>
        <w:rPr>
          <w:rFonts w:eastAsia="仿宋_GB2312"/>
          <w:color w:val="000000"/>
          <w:sz w:val="32"/>
          <w:szCs w:val="32"/>
        </w:rPr>
        <w:t>发运中药饮片应当有包装。用于运输的包装，至</w:t>
      </w:r>
      <w:r>
        <w:rPr>
          <w:rFonts w:eastAsia="仿宋_GB2312"/>
          <w:color w:val="000000"/>
          <w:spacing w:val="-6"/>
          <w:sz w:val="32"/>
          <w:szCs w:val="32"/>
        </w:rPr>
        <w:t>少应当</w:t>
      </w:r>
      <w:r>
        <w:rPr>
          <w:rFonts w:hint="eastAsia" w:eastAsia="仿宋_GB2312"/>
          <w:color w:val="000000"/>
          <w:spacing w:val="-6"/>
          <w:sz w:val="32"/>
          <w:szCs w:val="32"/>
        </w:rPr>
        <w:t>标注产品属性、</w:t>
      </w:r>
      <w:r>
        <w:rPr>
          <w:rFonts w:eastAsia="仿宋_GB2312"/>
          <w:color w:val="000000"/>
          <w:spacing w:val="-6"/>
          <w:sz w:val="32"/>
          <w:szCs w:val="32"/>
        </w:rPr>
        <w:t>品名、药材产地、</w:t>
      </w:r>
      <w:r>
        <w:rPr>
          <w:rFonts w:hint="eastAsia" w:eastAsia="仿宋_GB2312"/>
          <w:color w:val="000000"/>
          <w:spacing w:val="-6"/>
          <w:sz w:val="32"/>
          <w:szCs w:val="32"/>
        </w:rPr>
        <w:t>调出单位</w:t>
      </w:r>
      <w:r>
        <w:rPr>
          <w:rFonts w:eastAsia="仿宋_GB2312"/>
          <w:color w:val="000000"/>
          <w:spacing w:val="-6"/>
          <w:sz w:val="32"/>
          <w:szCs w:val="32"/>
        </w:rPr>
        <w:t>、生产日期，也可以根据需要注明</w:t>
      </w:r>
      <w:r>
        <w:rPr>
          <w:rFonts w:hint="eastAsia" w:eastAsia="仿宋_GB2312"/>
          <w:color w:val="000000"/>
          <w:spacing w:val="-6"/>
          <w:sz w:val="32"/>
          <w:szCs w:val="32"/>
        </w:rPr>
        <w:t>包装数量、</w:t>
      </w:r>
      <w:r>
        <w:rPr>
          <w:rFonts w:eastAsia="仿宋_GB2312"/>
          <w:color w:val="000000"/>
          <w:spacing w:val="-6"/>
          <w:sz w:val="32"/>
          <w:szCs w:val="32"/>
        </w:rPr>
        <w:t>运输注意事项或者其他标记等内容。</w:t>
      </w:r>
    </w:p>
    <w:p>
      <w:pPr>
        <w:spacing w:line="560" w:lineRule="exact"/>
        <w:ind w:firstLine="640" w:firstLineChars="200"/>
        <w:rPr>
          <w:rFonts w:eastAsia="仿宋_GB2312"/>
          <w:sz w:val="32"/>
          <w:szCs w:val="32"/>
        </w:rPr>
      </w:pPr>
      <w:r>
        <w:rPr>
          <w:rFonts w:hint="eastAsia" w:ascii="黑体" w:hAnsi="黑体" w:eastAsia="黑体" w:cs="黑体"/>
          <w:sz w:val="32"/>
          <w:szCs w:val="32"/>
        </w:rPr>
        <w:t>第十四条</w:t>
      </w:r>
      <w:r>
        <w:rPr>
          <w:rFonts w:ascii="黑体" w:hAnsi="黑体" w:eastAsia="黑体" w:cs="黑体"/>
          <w:sz w:val="32"/>
          <w:szCs w:val="32"/>
        </w:rPr>
        <w:t xml:space="preserve"> </w:t>
      </w:r>
      <w:r>
        <w:rPr>
          <w:rFonts w:hint="eastAsia" w:ascii="黑体" w:hAnsi="黑体" w:eastAsia="黑体" w:cs="黑体"/>
          <w:sz w:val="32"/>
          <w:szCs w:val="32"/>
        </w:rPr>
        <w:t xml:space="preserve"> </w:t>
      </w:r>
      <w:r>
        <w:rPr>
          <w:rFonts w:eastAsia="仿宋_GB2312"/>
          <w:sz w:val="32"/>
          <w:szCs w:val="32"/>
        </w:rPr>
        <w:t>中药饮片生产企业</w:t>
      </w:r>
      <w:r>
        <w:rPr>
          <w:rFonts w:hint="eastAsia" w:eastAsia="仿宋_GB2312"/>
          <w:sz w:val="32"/>
          <w:szCs w:val="32"/>
        </w:rPr>
        <w:t>可以</w:t>
      </w:r>
      <w:r>
        <w:rPr>
          <w:rFonts w:eastAsia="仿宋_GB2312"/>
          <w:sz w:val="32"/>
          <w:szCs w:val="32"/>
        </w:rPr>
        <w:t>根据需要在标签上标注中药饮片的药材基原、炮制辅料、生产地址、生产许可证编号、药品信息化追溯体系中的追溯码、物流单元标识代码、医保信息业务编码、防伪标识、投诉服务电话等</w:t>
      </w:r>
      <w:r>
        <w:rPr>
          <w:rFonts w:hint="eastAsia" w:eastAsia="仿宋_GB2312"/>
          <w:sz w:val="32"/>
          <w:szCs w:val="32"/>
        </w:rPr>
        <w:t>与药品使用相关的</w:t>
      </w:r>
      <w:r>
        <w:rPr>
          <w:rFonts w:eastAsia="仿宋_GB2312"/>
          <w:sz w:val="32"/>
          <w:szCs w:val="32"/>
        </w:rPr>
        <w:t>内容。</w:t>
      </w:r>
    </w:p>
    <w:p>
      <w:pPr>
        <w:spacing w:line="560" w:lineRule="exact"/>
        <w:ind w:firstLine="640" w:firstLineChars="200"/>
        <w:rPr>
          <w:rFonts w:eastAsia="仿宋_GB2312"/>
          <w:sz w:val="32"/>
          <w:szCs w:val="32"/>
        </w:rPr>
      </w:pPr>
      <w:r>
        <w:rPr>
          <w:rFonts w:hint="eastAsia" w:eastAsia="仿宋_GB2312"/>
          <w:sz w:val="32"/>
          <w:szCs w:val="32"/>
        </w:rPr>
        <w:t>对煎煮方法有特殊要求的</w:t>
      </w:r>
      <w:r>
        <w:rPr>
          <w:rFonts w:eastAsia="仿宋_GB2312"/>
          <w:sz w:val="32"/>
          <w:szCs w:val="32"/>
        </w:rPr>
        <w:t>，</w:t>
      </w:r>
      <w:r>
        <w:rPr>
          <w:rFonts w:hint="eastAsia" w:eastAsia="仿宋_GB2312"/>
          <w:sz w:val="32"/>
          <w:szCs w:val="32"/>
        </w:rPr>
        <w:t>可以</w:t>
      </w:r>
      <w:r>
        <w:rPr>
          <w:rFonts w:eastAsia="仿宋_GB2312"/>
          <w:sz w:val="32"/>
          <w:szCs w:val="32"/>
        </w:rPr>
        <w:t>注明特殊煎煮方法</w:t>
      </w:r>
      <w:r>
        <w:rPr>
          <w:rFonts w:hint="eastAsia" w:eastAsia="仿宋_GB2312"/>
          <w:sz w:val="32"/>
          <w:szCs w:val="32"/>
        </w:rPr>
        <w:t>或者遵医嘱。</w:t>
      </w:r>
    </w:p>
    <w:p>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第十五条 </w:t>
      </w:r>
      <w:r>
        <w:rPr>
          <w:rFonts w:ascii="黑体" w:hAnsi="黑体" w:eastAsia="黑体" w:cs="黑体"/>
          <w:sz w:val="32"/>
          <w:szCs w:val="32"/>
        </w:rPr>
        <w:t xml:space="preserve"> </w:t>
      </w:r>
      <w:r>
        <w:rPr>
          <w:rFonts w:eastAsia="仿宋_GB2312"/>
          <w:sz w:val="32"/>
          <w:szCs w:val="32"/>
        </w:rPr>
        <w:t>使用符合《中药材生产质量管理规范》（GAP）要求的中药材生产的中药饮片，</w:t>
      </w:r>
      <w:r>
        <w:rPr>
          <w:rFonts w:hint="eastAsia" w:eastAsia="仿宋_GB2312"/>
          <w:color w:val="000000"/>
          <w:sz w:val="32"/>
          <w:szCs w:val="32"/>
        </w:rPr>
        <w:t>可以按有关规定</w:t>
      </w:r>
      <w:r>
        <w:rPr>
          <w:rFonts w:eastAsia="仿宋_GB2312"/>
          <w:color w:val="000000"/>
          <w:sz w:val="32"/>
          <w:szCs w:val="32"/>
        </w:rPr>
        <w:t>在标签适当位置标示</w:t>
      </w:r>
      <w:r>
        <w:rPr>
          <w:rFonts w:hint="eastAsia" w:eastAsia="仿宋_GB2312"/>
          <w:color w:val="000000"/>
          <w:sz w:val="32"/>
          <w:szCs w:val="32"/>
        </w:rPr>
        <w:t>“</w:t>
      </w:r>
      <w:r>
        <w:rPr>
          <w:rFonts w:eastAsia="仿宋_GB2312"/>
          <w:color w:val="000000"/>
          <w:sz w:val="32"/>
          <w:szCs w:val="32"/>
        </w:rPr>
        <w:t>药材符合GAP要求</w:t>
      </w:r>
      <w:r>
        <w:rPr>
          <w:rFonts w:hint="eastAsia" w:eastAsia="仿宋_GB2312"/>
          <w:color w:val="000000"/>
          <w:sz w:val="32"/>
          <w:szCs w:val="32"/>
        </w:rPr>
        <w:t>”</w:t>
      </w:r>
      <w:r>
        <w:rPr>
          <w:rFonts w:eastAsia="仿宋_GB2312"/>
          <w:sz w:val="32"/>
          <w:szCs w:val="32"/>
        </w:rPr>
        <w:t>。使用从境外进口药材生产的中药饮片，标签上</w:t>
      </w:r>
      <w:r>
        <w:rPr>
          <w:rFonts w:hint="eastAsia" w:eastAsia="仿宋_GB2312"/>
          <w:sz w:val="32"/>
          <w:szCs w:val="32"/>
        </w:rPr>
        <w:t>可以</w:t>
      </w:r>
      <w:r>
        <w:rPr>
          <w:rFonts w:eastAsia="仿宋_GB2312"/>
          <w:sz w:val="32"/>
          <w:szCs w:val="32"/>
        </w:rPr>
        <w:t>标注相应进口药材的通关单编号。</w:t>
      </w:r>
    </w:p>
    <w:p>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第十六条 </w:t>
      </w:r>
      <w:r>
        <w:rPr>
          <w:rFonts w:ascii="黑体" w:hAnsi="黑体" w:eastAsia="黑体" w:cs="黑体"/>
          <w:sz w:val="32"/>
          <w:szCs w:val="32"/>
        </w:rPr>
        <w:t xml:space="preserve"> </w:t>
      </w:r>
      <w:r>
        <w:rPr>
          <w:rFonts w:eastAsia="仿宋_GB2312"/>
          <w:sz w:val="32"/>
          <w:szCs w:val="32"/>
        </w:rPr>
        <w:t>为保障临床用药安全，指导合理用药，中药饮片生产企业</w:t>
      </w:r>
      <w:r>
        <w:rPr>
          <w:rFonts w:hint="eastAsia" w:eastAsia="仿宋_GB2312"/>
          <w:sz w:val="32"/>
          <w:szCs w:val="32"/>
        </w:rPr>
        <w:t>可以</w:t>
      </w:r>
      <w:r>
        <w:rPr>
          <w:rFonts w:eastAsia="仿宋_GB2312"/>
          <w:sz w:val="32"/>
          <w:szCs w:val="32"/>
        </w:rPr>
        <w:t>根据实际需要在标签上增加标注相关项目，如性味与归经、功能与主治、用法与用量和注意等，内容应当与其执行的国家药品标准</w:t>
      </w:r>
      <w:r>
        <w:rPr>
          <w:rFonts w:hint="eastAsia" w:eastAsia="仿宋_GB2312"/>
          <w:sz w:val="32"/>
          <w:szCs w:val="32"/>
        </w:rPr>
        <w:t>或者</w:t>
      </w:r>
      <w:r>
        <w:rPr>
          <w:rFonts w:eastAsia="仿宋_GB2312"/>
          <w:sz w:val="32"/>
          <w:szCs w:val="32"/>
        </w:rPr>
        <w:t>省级中药饮片炮制规范相应内容一致。</w:t>
      </w:r>
    </w:p>
    <w:p>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第十七条 </w:t>
      </w:r>
      <w:r>
        <w:rPr>
          <w:rFonts w:ascii="黑体" w:hAnsi="黑体" w:eastAsia="黑体" w:cs="黑体"/>
          <w:sz w:val="32"/>
          <w:szCs w:val="32"/>
        </w:rPr>
        <w:t xml:space="preserve"> </w:t>
      </w:r>
      <w:r>
        <w:rPr>
          <w:rFonts w:eastAsia="仿宋_GB2312"/>
          <w:sz w:val="32"/>
          <w:szCs w:val="32"/>
        </w:rPr>
        <w:t>中药饮片标签使用注册商标的，其应当印</w:t>
      </w:r>
      <w:r>
        <w:rPr>
          <w:rFonts w:hint="eastAsia" w:eastAsia="仿宋_GB2312"/>
          <w:sz w:val="32"/>
          <w:szCs w:val="32"/>
        </w:rPr>
        <w:t>制</w:t>
      </w:r>
      <w:r>
        <w:rPr>
          <w:rFonts w:eastAsia="仿宋_GB2312"/>
          <w:sz w:val="32"/>
          <w:szCs w:val="32"/>
        </w:rPr>
        <w:t>在包装标签的边角。</w:t>
      </w:r>
    </w:p>
    <w:p>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第十八条 </w:t>
      </w:r>
      <w:r>
        <w:rPr>
          <w:rFonts w:ascii="黑体" w:hAnsi="黑体" w:eastAsia="黑体" w:cs="黑体"/>
          <w:sz w:val="32"/>
          <w:szCs w:val="32"/>
        </w:rPr>
        <w:t xml:space="preserve"> </w:t>
      </w:r>
      <w:r>
        <w:rPr>
          <w:rFonts w:eastAsia="仿宋_GB2312"/>
          <w:sz w:val="32"/>
          <w:szCs w:val="32"/>
        </w:rPr>
        <w:t>属于医疗用毒性药品、麻醉药品的中药饮片，其标签应当印有规定的专用标识，避免医疗使用中出现差错。涉及利用国家重点保护野生动物及其制品的中药饮片</w:t>
      </w:r>
      <w:r>
        <w:rPr>
          <w:rFonts w:hint="eastAsia" w:eastAsia="仿宋_GB2312"/>
          <w:sz w:val="32"/>
          <w:szCs w:val="32"/>
        </w:rPr>
        <w:t>标签</w:t>
      </w:r>
      <w:r>
        <w:rPr>
          <w:rFonts w:eastAsia="仿宋_GB2312"/>
          <w:sz w:val="32"/>
          <w:szCs w:val="32"/>
        </w:rPr>
        <w:t>应当符合国家有关规定。</w:t>
      </w:r>
    </w:p>
    <w:p>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第十九条 </w:t>
      </w:r>
      <w:r>
        <w:rPr>
          <w:rFonts w:ascii="黑体" w:hAnsi="黑体" w:eastAsia="黑体" w:cs="黑体"/>
          <w:sz w:val="32"/>
          <w:szCs w:val="32"/>
        </w:rPr>
        <w:t xml:space="preserve"> </w:t>
      </w:r>
      <w:r>
        <w:rPr>
          <w:rFonts w:eastAsia="仿宋_GB2312"/>
          <w:sz w:val="32"/>
          <w:szCs w:val="32"/>
        </w:rPr>
        <w:t>中药饮片标签不符合本规定的，生产经营企业应当依法承担责任，药品监督管理部门按照《中华人民共和国药品管理法》《中华人民共和国药品管理法实施条例》等有关规定进行处罚。</w:t>
      </w:r>
    </w:p>
    <w:p>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第二十条 </w:t>
      </w:r>
      <w:r>
        <w:rPr>
          <w:rFonts w:ascii="黑体" w:hAnsi="黑体" w:eastAsia="黑体" w:cs="黑体"/>
          <w:sz w:val="32"/>
          <w:szCs w:val="32"/>
        </w:rPr>
        <w:t xml:space="preserve"> </w:t>
      </w:r>
      <w:r>
        <w:rPr>
          <w:rFonts w:eastAsia="仿宋_GB2312"/>
          <w:sz w:val="32"/>
          <w:szCs w:val="32"/>
        </w:rPr>
        <w:t>中药饮片标签上</w:t>
      </w:r>
      <w:r>
        <w:rPr>
          <w:rFonts w:hint="eastAsia" w:eastAsia="仿宋_GB2312"/>
          <w:sz w:val="32"/>
          <w:szCs w:val="32"/>
        </w:rPr>
        <w:t>标注</w:t>
      </w:r>
      <w:r>
        <w:rPr>
          <w:rFonts w:eastAsia="仿宋_GB2312"/>
          <w:sz w:val="32"/>
          <w:szCs w:val="32"/>
        </w:rPr>
        <w:t>的功能主治内容应当符合国家药品标准</w:t>
      </w:r>
      <w:r>
        <w:rPr>
          <w:rFonts w:hint="eastAsia" w:eastAsia="仿宋_GB2312"/>
          <w:sz w:val="32"/>
          <w:szCs w:val="32"/>
        </w:rPr>
        <w:t>或者</w:t>
      </w:r>
      <w:r>
        <w:rPr>
          <w:rFonts w:eastAsia="仿宋_GB2312"/>
          <w:sz w:val="32"/>
          <w:szCs w:val="32"/>
        </w:rPr>
        <w:t>省级中药饮片炮制规范的规定。超出规定范围的，属于《中华人民共和国药品管理法》第九十八条第二款第（四）项规定的</w:t>
      </w:r>
      <w:r>
        <w:rPr>
          <w:rFonts w:hint="eastAsia" w:eastAsia="仿宋_GB2312"/>
          <w:sz w:val="32"/>
          <w:szCs w:val="32"/>
        </w:rPr>
        <w:t>“</w:t>
      </w:r>
      <w:r>
        <w:rPr>
          <w:rFonts w:eastAsia="仿宋_GB2312"/>
          <w:sz w:val="32"/>
          <w:szCs w:val="32"/>
        </w:rPr>
        <w:t>药品所标明的适应症或者功能主治超出规定范围</w:t>
      </w:r>
      <w:r>
        <w:rPr>
          <w:rFonts w:hint="eastAsia" w:eastAsia="仿宋_GB2312"/>
          <w:sz w:val="32"/>
          <w:szCs w:val="32"/>
        </w:rPr>
        <w:t>”</w:t>
      </w:r>
      <w:r>
        <w:rPr>
          <w:rFonts w:eastAsia="仿宋_GB2312"/>
          <w:sz w:val="32"/>
          <w:szCs w:val="32"/>
        </w:rPr>
        <w:t>情形，应当依法查处。</w:t>
      </w:r>
    </w:p>
    <w:p>
      <w:pPr>
        <w:spacing w:line="560" w:lineRule="exact"/>
        <w:ind w:firstLine="640" w:firstLineChars="200"/>
        <w:rPr>
          <w:rFonts w:eastAsia="仿宋_GB2312"/>
          <w:sz w:val="32"/>
          <w:szCs w:val="32"/>
        </w:rPr>
      </w:pPr>
      <w:r>
        <w:rPr>
          <w:rFonts w:hint="eastAsia" w:ascii="黑体" w:hAnsi="黑体" w:eastAsia="黑体" w:cs="黑体"/>
          <w:sz w:val="32"/>
          <w:szCs w:val="32"/>
        </w:rPr>
        <w:t xml:space="preserve">第二十一条 </w:t>
      </w:r>
      <w:r>
        <w:rPr>
          <w:rFonts w:ascii="黑体" w:hAnsi="黑体" w:eastAsia="黑体" w:cs="黑体"/>
          <w:sz w:val="32"/>
          <w:szCs w:val="32"/>
        </w:rPr>
        <w:t xml:space="preserve"> </w:t>
      </w:r>
      <w:r>
        <w:rPr>
          <w:rFonts w:hint="eastAsia" w:eastAsia="仿宋_GB2312"/>
          <w:sz w:val="32"/>
          <w:szCs w:val="32"/>
        </w:rPr>
        <w:t>中药配方颗粒包装、标签的管理按照《国家药监局 国家中医药局 国家卫生健康委 国家医保局关于结束中药配方颗粒试点工作的公告》（2</w:t>
      </w:r>
      <w:r>
        <w:rPr>
          <w:rFonts w:eastAsia="仿宋_GB2312"/>
          <w:sz w:val="32"/>
          <w:szCs w:val="32"/>
        </w:rPr>
        <w:t>021</w:t>
      </w:r>
      <w:r>
        <w:rPr>
          <w:rFonts w:hint="eastAsia" w:eastAsia="仿宋_GB2312"/>
          <w:sz w:val="32"/>
          <w:szCs w:val="32"/>
        </w:rPr>
        <w:t>年第2</w:t>
      </w:r>
      <w:r>
        <w:rPr>
          <w:rFonts w:eastAsia="仿宋_GB2312"/>
          <w:sz w:val="32"/>
          <w:szCs w:val="32"/>
        </w:rPr>
        <w:t>2</w:t>
      </w:r>
      <w:r>
        <w:rPr>
          <w:rFonts w:hint="eastAsia" w:eastAsia="仿宋_GB2312"/>
          <w:sz w:val="32"/>
          <w:szCs w:val="32"/>
        </w:rPr>
        <w:t>号）有关规定执行。</w:t>
      </w:r>
    </w:p>
    <w:p>
      <w:pPr>
        <w:spacing w:line="560" w:lineRule="exact"/>
        <w:ind w:firstLine="640" w:firstLineChars="200"/>
        <w:rPr>
          <w:rFonts w:hint="eastAsia" w:ascii="仿宋_GB2312" w:hAnsi="华文仿宋" w:eastAsia="仿宋_GB2312"/>
          <w:sz w:val="32"/>
          <w:szCs w:val="32"/>
        </w:rPr>
      </w:pPr>
      <w:r>
        <w:rPr>
          <w:rFonts w:hint="eastAsia" w:ascii="黑体" w:hAnsi="黑体" w:eastAsia="黑体" w:cs="黑体"/>
          <w:sz w:val="32"/>
          <w:szCs w:val="32"/>
        </w:rPr>
        <w:t xml:space="preserve">第二十二条 </w:t>
      </w:r>
      <w:r>
        <w:rPr>
          <w:rFonts w:ascii="黑体" w:hAnsi="黑体" w:eastAsia="黑体" w:cs="黑体"/>
          <w:sz w:val="32"/>
          <w:szCs w:val="32"/>
        </w:rPr>
        <w:t xml:space="preserve"> </w:t>
      </w:r>
      <w:r>
        <w:rPr>
          <w:rFonts w:eastAsia="仿宋_GB2312"/>
          <w:sz w:val="32"/>
          <w:szCs w:val="32"/>
        </w:rPr>
        <w:t>本规定自202</w:t>
      </w:r>
      <w:r>
        <w:rPr>
          <w:rFonts w:hint="eastAsia" w:eastAsia="仿宋_GB2312"/>
          <w:sz w:val="32"/>
          <w:szCs w:val="32"/>
        </w:rPr>
        <w:t>4</w:t>
      </w:r>
      <w:r>
        <w:rPr>
          <w:rFonts w:eastAsia="仿宋_GB2312"/>
          <w:sz w:val="32"/>
          <w:szCs w:val="32"/>
        </w:rPr>
        <w:t>年</w:t>
      </w:r>
      <w:r>
        <w:rPr>
          <w:rFonts w:eastAsia="仿宋_GB2312"/>
          <w:sz w:val="32"/>
          <w:szCs w:val="32"/>
          <w:lang w:val="en"/>
        </w:rPr>
        <w:t>8</w:t>
      </w:r>
      <w:r>
        <w:rPr>
          <w:rFonts w:eastAsia="仿宋_GB2312"/>
          <w:sz w:val="32"/>
          <w:szCs w:val="32"/>
        </w:rPr>
        <w:t>月</w:t>
      </w:r>
      <w:r>
        <w:rPr>
          <w:rFonts w:eastAsia="仿宋_GB2312"/>
          <w:sz w:val="32"/>
          <w:szCs w:val="32"/>
          <w:lang w:val="en"/>
        </w:rPr>
        <w:t>1</w:t>
      </w:r>
      <w:r>
        <w:rPr>
          <w:rFonts w:eastAsia="仿宋_GB2312"/>
          <w:sz w:val="32"/>
          <w:szCs w:val="32"/>
        </w:rPr>
        <w:t>日起施行</w:t>
      </w:r>
      <w:r>
        <w:rPr>
          <w:rFonts w:hint="eastAsia" w:eastAsia="仿宋_GB2312"/>
          <w:sz w:val="32"/>
          <w:szCs w:val="32"/>
        </w:rPr>
        <w:t>，其中，保质期的标注自2</w:t>
      </w:r>
      <w:r>
        <w:rPr>
          <w:rFonts w:eastAsia="仿宋_GB2312"/>
          <w:sz w:val="32"/>
          <w:szCs w:val="32"/>
        </w:rPr>
        <w:t>025</w:t>
      </w:r>
      <w:r>
        <w:rPr>
          <w:rFonts w:hint="eastAsia" w:eastAsia="仿宋_GB2312"/>
          <w:sz w:val="32"/>
          <w:szCs w:val="32"/>
        </w:rPr>
        <w:t>年</w:t>
      </w:r>
      <w:r>
        <w:rPr>
          <w:rFonts w:eastAsia="仿宋_GB2312"/>
          <w:sz w:val="32"/>
          <w:szCs w:val="32"/>
          <w:lang w:val="en"/>
        </w:rPr>
        <w:t>8</w:t>
      </w:r>
      <w:r>
        <w:rPr>
          <w:rFonts w:hint="eastAsia" w:eastAsia="仿宋_GB2312"/>
          <w:sz w:val="32"/>
          <w:szCs w:val="32"/>
        </w:rPr>
        <w:t>月</w:t>
      </w:r>
      <w:r>
        <w:rPr>
          <w:rFonts w:eastAsia="仿宋_GB2312"/>
          <w:sz w:val="32"/>
          <w:szCs w:val="32"/>
          <w:lang w:val="en"/>
        </w:rPr>
        <w:t>1</w:t>
      </w:r>
      <w:r>
        <w:rPr>
          <w:rFonts w:hint="eastAsia" w:eastAsia="仿宋_GB2312"/>
          <w:sz w:val="32"/>
          <w:szCs w:val="32"/>
        </w:rPr>
        <w:t>日起施行。相关施行日之前使用原有的包装、标签生产上市的中药饮片，可以继续销售、流通至使用完为止。</w:t>
      </w:r>
    </w:p>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2"/>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FF45A7"/>
    <w:rsid w:val="003D31AA"/>
    <w:rsid w:val="0052322B"/>
    <w:rsid w:val="00BA79A4"/>
    <w:rsid w:val="33D27C70"/>
    <w:rsid w:val="BFFF45A7"/>
    <w:rsid w:val="FB73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344</Words>
  <Characters>1965</Characters>
  <Lines>16</Lines>
  <Paragraphs>4</Paragraphs>
  <TotalTime>1</TotalTime>
  <ScaleCrop>false</ScaleCrop>
  <LinksUpToDate>false</LinksUpToDate>
  <CharactersWithSpaces>2305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2023-07-14T09:29:00Z</dcterms:created>
  <dc:creator>zhik</dc:creator>
  <cp:lastModifiedBy>卖女孩的小火柴</cp:lastModifiedBy>
  <dcterms:modified xsi:type="dcterms:W3CDTF">2023-07-19T03:14:51Z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DF9398283F5A43B7AA693E81F6908CDE_13</vt:lpwstr>
  </property>
</Properties>
</file>